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76F7A" w14:textId="78A81328" w:rsidR="00EC482D" w:rsidRDefault="00EC482D" w:rsidP="00EC482D">
      <w:pPr>
        <w:pStyle w:val="Prrafodelista"/>
        <w:widowControl w:val="0"/>
        <w:autoSpaceDE w:val="0"/>
        <w:autoSpaceDN w:val="0"/>
        <w:adjustRightInd w:val="0"/>
        <w:ind w:left="426" w:right="-74"/>
        <w:jc w:val="center"/>
        <w:rPr>
          <w:rFonts w:asciiTheme="majorHAnsi" w:hAnsiTheme="majorHAnsi" w:cstheme="majorHAnsi"/>
          <w:b/>
          <w:sz w:val="22"/>
          <w:szCs w:val="22"/>
          <w:lang w:val="es-CO"/>
        </w:rPr>
      </w:pPr>
      <w:bookmarkStart w:id="0" w:name="_Hlk48833051"/>
      <w:r w:rsidRPr="00EC482D">
        <w:rPr>
          <w:rFonts w:asciiTheme="majorHAnsi" w:hAnsiTheme="majorHAnsi" w:cstheme="majorHAnsi"/>
          <w:b/>
          <w:sz w:val="22"/>
          <w:szCs w:val="22"/>
          <w:lang w:val="es-CO"/>
        </w:rPr>
        <w:t>Anexo 21. Fraude y Corrupción</w:t>
      </w:r>
    </w:p>
    <w:p w14:paraId="3E8E6AE8" w14:textId="77777777" w:rsidR="00EC482D" w:rsidRDefault="00EC482D" w:rsidP="00EC482D">
      <w:pPr>
        <w:pStyle w:val="Prrafodelista"/>
        <w:widowControl w:val="0"/>
        <w:autoSpaceDE w:val="0"/>
        <w:autoSpaceDN w:val="0"/>
        <w:adjustRightInd w:val="0"/>
        <w:ind w:left="426" w:right="-74"/>
        <w:jc w:val="both"/>
        <w:rPr>
          <w:rFonts w:asciiTheme="majorHAnsi" w:hAnsiTheme="majorHAnsi" w:cstheme="majorHAnsi"/>
          <w:b/>
          <w:sz w:val="22"/>
          <w:szCs w:val="22"/>
          <w:lang w:val="es-CO"/>
        </w:rPr>
      </w:pPr>
    </w:p>
    <w:p w14:paraId="12F2FF3A" w14:textId="0DB04687" w:rsidR="00B52C89" w:rsidRPr="00B52C89" w:rsidRDefault="00B52C89" w:rsidP="00B52C89">
      <w:pPr>
        <w:pStyle w:val="Prrafodelista"/>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Propósito</w:t>
      </w:r>
    </w:p>
    <w:p w14:paraId="0F361C87" w14:textId="77777777" w:rsidR="00B52C89" w:rsidRPr="00B52C89" w:rsidRDefault="00B52C89" w:rsidP="00B52C89">
      <w:pPr>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Las Directrices Contra la Corrupción del Banco y este anexo se aplican a las adquisiciones realizadas en el marco de las operaciones de financiamiento para proyectos de inversión de dicho organismo.</w:t>
      </w:r>
    </w:p>
    <w:p w14:paraId="254AA72F" w14:textId="77777777" w:rsidR="00B52C89" w:rsidRPr="00B52C89" w:rsidRDefault="00B52C89" w:rsidP="00B52C89">
      <w:pPr>
        <w:widowControl w:val="0"/>
        <w:numPr>
          <w:ilvl w:val="0"/>
          <w:numId w:val="7"/>
        </w:numPr>
        <w:autoSpaceDE w:val="0"/>
        <w:autoSpaceDN w:val="0"/>
        <w:adjustRightInd w:val="0"/>
        <w:ind w:left="426" w:right="-74" w:hanging="426"/>
        <w:jc w:val="both"/>
        <w:rPr>
          <w:rFonts w:asciiTheme="majorHAnsi" w:hAnsiTheme="majorHAnsi" w:cstheme="majorHAnsi"/>
          <w:b/>
          <w:sz w:val="22"/>
          <w:szCs w:val="22"/>
          <w:lang w:val="es-CO"/>
        </w:rPr>
      </w:pPr>
      <w:r w:rsidRPr="00B52C89">
        <w:rPr>
          <w:rFonts w:asciiTheme="majorHAnsi" w:hAnsiTheme="majorHAnsi" w:cstheme="majorHAnsi"/>
          <w:b/>
          <w:sz w:val="22"/>
          <w:szCs w:val="22"/>
          <w:lang w:val="es-CO"/>
        </w:rPr>
        <w:t>Requisitos</w:t>
      </w:r>
    </w:p>
    <w:p w14:paraId="3BFC7A1C"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El Banco exige que los prestatarios (incluidos los beneficiarios del financiamiento que otorga); licitantes (proponentes / postulantes), consultores, contratistas y proveedores; subcontratistas, subconsultores, prestadores de servicios o proveedores, y agentes (declarados o no), así como los miembros de su personal, observen los más altos niveles éticos durante el proceso de adquisición, selección y ejecución de los contratos que financie, y se abstengan de cometer actos de fraude y corrupción.</w:t>
      </w:r>
    </w:p>
    <w:p w14:paraId="5FE55B50" w14:textId="77777777" w:rsidR="00B52C89" w:rsidRPr="00B52C89" w:rsidRDefault="00B52C89" w:rsidP="00B52C89">
      <w:pPr>
        <w:pStyle w:val="Prrafodelista"/>
        <w:widowControl w:val="0"/>
        <w:numPr>
          <w:ilvl w:val="1"/>
          <w:numId w:val="7"/>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A tal fin, el Banco:</w:t>
      </w:r>
    </w:p>
    <w:p w14:paraId="7CECEF6A"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Define de la siguiente manera, a los efectos de esta disposición, las expresiones que se indican a continuación:</w:t>
      </w:r>
    </w:p>
    <w:p w14:paraId="28A9B02B"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corrupta” se entiende el ofrecimiento, entrega, aceptación o solicitud directa o indirecta de cualquier cosa de valor con el fin de influir indebidamente en el accionar de otra parte;</w:t>
      </w:r>
    </w:p>
    <w:p w14:paraId="10D82270"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4EADDABC"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colusoria” se entiende todo arreglo entre dos o más partes realizado con la intención de alcanzar un propósito ilícito, como el de influir de forma indebida en el accionar de otra parte;</w:t>
      </w:r>
    </w:p>
    <w:p w14:paraId="7EAD330A"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coercitiva” se entiende el perjuicio o daño o la amenaza de causar perjuicio o daño directa o indirectamente a cualquiera de las partes o a sus bienes para influir de forma indebida en su accionar;</w:t>
      </w:r>
    </w:p>
    <w:p w14:paraId="558BF12E" w14:textId="77777777" w:rsidR="00B52C89" w:rsidRPr="00B52C89" w:rsidRDefault="00B52C89" w:rsidP="00B52C89">
      <w:pPr>
        <w:pStyle w:val="Prrafodelista"/>
        <w:widowControl w:val="0"/>
        <w:numPr>
          <w:ilvl w:val="1"/>
          <w:numId w:val="6"/>
        </w:numPr>
        <w:autoSpaceDE w:val="0"/>
        <w:autoSpaceDN w:val="0"/>
        <w:adjustRightInd w:val="0"/>
        <w:ind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por “práctica obstructiva” se entiende:</w:t>
      </w:r>
    </w:p>
    <w:p w14:paraId="74B056F0"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14:paraId="2C041E3D" w14:textId="77777777" w:rsidR="00B52C89" w:rsidRPr="00B52C89" w:rsidRDefault="00B52C89" w:rsidP="00B52C89">
      <w:pPr>
        <w:pStyle w:val="Prrafodelista"/>
        <w:widowControl w:val="0"/>
        <w:numPr>
          <w:ilvl w:val="0"/>
          <w:numId w:val="9"/>
        </w:numPr>
        <w:autoSpaceDE w:val="0"/>
        <w:autoSpaceDN w:val="0"/>
        <w:adjustRightInd w:val="0"/>
        <w:ind w:left="2977" w:right="-74" w:hanging="567"/>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los actos destinados a impedir materialmente que el Banco ejerza sus derechos de inspección y auditoría establecidos en el párrafo 2.2 e), que figura a continuación.</w:t>
      </w:r>
    </w:p>
    <w:p w14:paraId="3508D71D" w14:textId="77777777" w:rsidR="00B52C89" w:rsidRPr="00B52C89" w:rsidRDefault="00B52C89" w:rsidP="00B52C89">
      <w:pPr>
        <w:pStyle w:val="Prrafodelista"/>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Rechazará toda propuesta de adjudicación si determina que la empresa o persona recomendada para la adjudicación, los miembros de su personal, sus agentes, subconsultores, subcontratistas, prestadores de servicios, proveedores o empleados han </w:t>
      </w:r>
      <w:r w:rsidRPr="00B52C89">
        <w:rPr>
          <w:rFonts w:asciiTheme="majorHAnsi" w:hAnsiTheme="majorHAnsi" w:cstheme="majorHAnsi"/>
          <w:sz w:val="22"/>
          <w:szCs w:val="22"/>
          <w:lang w:val="es-CO"/>
        </w:rPr>
        <w:lastRenderedPageBreak/>
        <w:t>participado, directa o indirectamente, en prácticas corruptas, fraudulentas, colusorias, coercitivas u obstructivas para competir por el contrato en cuestión.</w:t>
      </w:r>
    </w:p>
    <w:p w14:paraId="2F313BEB"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14:paraId="0ED46BAF" w14:textId="77777777" w:rsidR="00B52C89" w:rsidRPr="00B52C89" w:rsidRDefault="00B52C89" w:rsidP="00B52C89">
      <w:pPr>
        <w:widowControl w:val="0"/>
        <w:numPr>
          <w:ilvl w:val="0"/>
          <w:numId w:val="8"/>
        </w:numPr>
        <w:autoSpaceDE w:val="0"/>
        <w:autoSpaceDN w:val="0"/>
        <w:adjustRightInd w:val="0"/>
        <w:ind w:left="1134" w:right="-74"/>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Sancionará, conforme a lo establecido en sus Directrices Contra la Corrupción y a sus políticas y procedimientos de sanciones vigentes, en forma indefinida o por un período determinado, a cualquier empresa o persona, declarándola públicamente inelegible para i) recibir la adjudicación de un contrato financiado por el Banco u obtener beneficios financieros o de otro tipo a través de dicho contrato</w:t>
      </w:r>
      <w:r w:rsidRPr="00B52C89">
        <w:rPr>
          <w:rFonts w:asciiTheme="majorHAnsi" w:hAnsiTheme="majorHAnsi" w:cstheme="majorHAnsi"/>
          <w:sz w:val="22"/>
          <w:szCs w:val="22"/>
          <w:vertAlign w:val="superscript"/>
          <w:lang w:val="es-CO"/>
        </w:rPr>
        <w:footnoteReference w:id="2"/>
      </w:r>
      <w:r w:rsidRPr="00B52C89">
        <w:rPr>
          <w:rFonts w:asciiTheme="majorHAnsi" w:hAnsiTheme="majorHAnsi" w:cstheme="majorHAnsi"/>
          <w:sz w:val="22"/>
          <w:szCs w:val="22"/>
          <w:lang w:val="es-CO"/>
        </w:rPr>
        <w:t>; ii) ser designada</w:t>
      </w:r>
      <w:r w:rsidRPr="00B52C89">
        <w:rPr>
          <w:rFonts w:asciiTheme="majorHAnsi" w:hAnsiTheme="majorHAnsi" w:cstheme="majorHAnsi"/>
          <w:sz w:val="22"/>
          <w:szCs w:val="22"/>
          <w:vertAlign w:val="superscript"/>
          <w:lang w:val="es-CO"/>
        </w:rPr>
        <w:footnoteReference w:id="3"/>
      </w:r>
      <w:r w:rsidRPr="00B52C89">
        <w:rPr>
          <w:rFonts w:asciiTheme="majorHAnsi" w:hAnsiTheme="majorHAnsi" w:cstheme="majorHAnsi"/>
          <w:sz w:val="22"/>
          <w:szCs w:val="22"/>
          <w:lang w:val="es-CO"/>
        </w:rPr>
        <w:t xml:space="preserve"> subcontratista, consultor, fabricante o proveedor, o prestador de servicios nominado de una empresa habilitada para ser adjudicataria de un contrato financiado por el Banco, y iii) recibir los fondos de un contrato otorgado por el Banco o seguir participando en la preparación o ejecución de un proyecto financiado por este.</w:t>
      </w:r>
    </w:p>
    <w:p w14:paraId="0633CCBA" w14:textId="7A4C98B7" w:rsidR="00B52C89" w:rsidRDefault="00B52C89" w:rsidP="00B52C89">
      <w:pPr>
        <w:widowControl w:val="0"/>
        <w:autoSpaceDE w:val="0"/>
        <w:autoSpaceDN w:val="0"/>
        <w:adjustRightInd w:val="0"/>
        <w:ind w:left="1134" w:right="-74" w:hanging="306"/>
        <w:jc w:val="both"/>
        <w:rPr>
          <w:rFonts w:asciiTheme="majorHAnsi" w:hAnsiTheme="majorHAnsi" w:cstheme="majorHAnsi"/>
          <w:sz w:val="22"/>
          <w:szCs w:val="22"/>
          <w:lang w:val="es-CO"/>
        </w:rPr>
      </w:pPr>
      <w:r w:rsidRPr="00B52C89">
        <w:rPr>
          <w:rFonts w:asciiTheme="majorHAnsi" w:hAnsiTheme="majorHAnsi" w:cstheme="majorHAnsi"/>
          <w:sz w:val="22"/>
          <w:szCs w:val="22"/>
          <w:lang w:val="es-CO"/>
        </w:rPr>
        <w:t>e.</w:t>
      </w:r>
      <w:r w:rsidRPr="00B52C89">
        <w:rPr>
          <w:rFonts w:asciiTheme="majorHAnsi" w:hAnsiTheme="majorHAnsi" w:cstheme="majorHAnsi"/>
          <w:sz w:val="22"/>
          <w:szCs w:val="22"/>
          <w:lang w:val="es-CO"/>
        </w:rPr>
        <w:tab/>
        <w:t>Exigirá que en los documentos de Solicitud de Ofertas/SDP y en los contratos financiados con préstamos del Banco se incluya una cláusula en la que se exija que los licitantes (postulantes / proponentes), consultores, contratistas y proveedores, así como sus subcontratistas, subconsultores, agentes, empleados, consultores, prestadores de servicios o proveedores, permitan al Banco inspeccionar</w:t>
      </w:r>
      <w:r w:rsidRPr="00B52C89">
        <w:rPr>
          <w:rFonts w:asciiTheme="majorHAnsi" w:hAnsiTheme="majorHAnsi" w:cstheme="majorHAnsi"/>
          <w:sz w:val="22"/>
          <w:szCs w:val="22"/>
          <w:vertAlign w:val="superscript"/>
          <w:lang w:val="es-CO"/>
        </w:rPr>
        <w:footnoteReference w:id="4"/>
      </w:r>
      <w:r w:rsidRPr="00B52C89">
        <w:rPr>
          <w:rFonts w:asciiTheme="majorHAnsi" w:hAnsiTheme="majorHAnsi" w:cstheme="majorHAnsi"/>
          <w:sz w:val="22"/>
          <w:szCs w:val="22"/>
          <w:lang w:val="es-CO"/>
        </w:rPr>
        <w:t xml:space="preserve"> todas las cuentas, registros y otros documentos relacionados con la presentación de propuestas y el cumplimiento de los contratos, y someterlos a la auditoría de profesionales nombrados por este.</w:t>
      </w:r>
      <w:bookmarkEnd w:id="0"/>
    </w:p>
    <w:sectPr w:rsidR="00B52C89" w:rsidSect="000A58D5">
      <w:headerReference w:type="even" r:id="rId10"/>
      <w:headerReference w:type="default" r:id="rId11"/>
      <w:headerReference w:type="first" r:id="rId12"/>
      <w:pgSz w:w="12240" w:h="15840"/>
      <w:pgMar w:top="1985" w:right="1701" w:bottom="1560" w:left="1701" w:header="198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A451A" w14:textId="77777777" w:rsidR="001D2817" w:rsidRDefault="001D2817" w:rsidP="006A2D70">
      <w:r>
        <w:separator/>
      </w:r>
    </w:p>
  </w:endnote>
  <w:endnote w:type="continuationSeparator" w:id="0">
    <w:p w14:paraId="6128BE17" w14:textId="77777777" w:rsidR="001D2817" w:rsidRDefault="001D2817" w:rsidP="006A2D70">
      <w:r>
        <w:continuationSeparator/>
      </w:r>
    </w:p>
  </w:endnote>
  <w:endnote w:type="continuationNotice" w:id="1">
    <w:p w14:paraId="1AF20BE5" w14:textId="77777777" w:rsidR="0079277A" w:rsidRDefault="00792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Andes">
    <w:altName w:val="Calibri"/>
    <w:panose1 w:val="00000000000000000000"/>
    <w:charset w:val="00"/>
    <w:family w:val="modern"/>
    <w:notTrueType/>
    <w:pitch w:val="variable"/>
    <w:sig w:usb0="A000002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A4649" w14:textId="77777777" w:rsidR="001D2817" w:rsidRDefault="001D2817" w:rsidP="006A2D70">
      <w:r>
        <w:separator/>
      </w:r>
    </w:p>
  </w:footnote>
  <w:footnote w:type="continuationSeparator" w:id="0">
    <w:p w14:paraId="6F60E7A7" w14:textId="77777777" w:rsidR="001D2817" w:rsidRDefault="001D2817" w:rsidP="006A2D70">
      <w:r>
        <w:continuationSeparator/>
      </w:r>
    </w:p>
  </w:footnote>
  <w:footnote w:type="continuationNotice" w:id="1">
    <w:p w14:paraId="1C2952B1" w14:textId="77777777" w:rsidR="0079277A" w:rsidRDefault="0079277A"/>
  </w:footnote>
  <w:footnote w:id="2">
    <w:p w14:paraId="2E97C333" w14:textId="77777777" w:rsidR="00B52C89" w:rsidRPr="00B52C89" w:rsidRDefault="00B52C89" w:rsidP="00B52C89">
      <w:pPr>
        <w:pStyle w:val="Textonotapie"/>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Para disipar cualquier duda, la inelegibilidad de una parte para recibir la adjudicación de un contrato incluirá, entre otras cosas, (i) solicitar la precalificación, expresar interés en la prestación de servicios de consultoría y presentar ofertas/propuestas, en forma directa o en calidad de subcontratista, fabricante o proveedor, o prestador de servicios nominado, en relación con dicho contrato, y (ii) suscribir una enmienda o modificación en la que introduzcan cambios sustanciales a un contrato existente.</w:t>
      </w:r>
    </w:p>
  </w:footnote>
  <w:footnote w:id="3">
    <w:p w14:paraId="0F2846E9" w14:textId="77777777" w:rsidR="00B52C89" w:rsidRPr="00B52C89" w:rsidRDefault="00B52C89" w:rsidP="00B52C89">
      <w:pPr>
        <w:pStyle w:val="Textonotapie"/>
        <w:tabs>
          <w:tab w:val="left" w:pos="426"/>
        </w:tabs>
        <w:ind w:left="284" w:hanging="284"/>
        <w:jc w:val="both"/>
        <w:rPr>
          <w:rFonts w:asciiTheme="majorHAnsi" w:hAnsiTheme="majorHAnsi" w:cstheme="majorHAnsi"/>
          <w:sz w:val="18"/>
          <w:szCs w:val="18"/>
        </w:rPr>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Un subcontratista, consultor, fabricante o proveedor, o prestador de servicios nominado (el nombre dependerá del documento de licitación de que se trate) es aquel que (i) figura en la solicitud de precalificación u oferta del Licitante (postulante / proponente) debido a que aporta la experiencia y los conocimientos especializados esenciales que le permiten cumplir los requisitos de calificación para una oferta/propuesta en particular, o (ii) ha sido designado por el Prestador.</w:t>
      </w:r>
    </w:p>
  </w:footnote>
  <w:footnote w:id="4">
    <w:p w14:paraId="173501C8" w14:textId="77777777" w:rsidR="00B52C89" w:rsidRPr="00E57226" w:rsidRDefault="00B52C89" w:rsidP="00B52C89">
      <w:pPr>
        <w:pStyle w:val="Textonotapie"/>
        <w:tabs>
          <w:tab w:val="left" w:pos="426"/>
        </w:tabs>
        <w:ind w:left="284" w:hanging="284"/>
        <w:jc w:val="both"/>
      </w:pPr>
      <w:r w:rsidRPr="00B52C89">
        <w:rPr>
          <w:rStyle w:val="Refdenotaalpie"/>
          <w:rFonts w:asciiTheme="majorHAnsi" w:hAnsiTheme="majorHAnsi" w:cstheme="majorHAnsi"/>
          <w:sz w:val="18"/>
          <w:szCs w:val="18"/>
        </w:rPr>
        <w:footnoteRef/>
      </w:r>
      <w:r w:rsidRPr="00B52C89">
        <w:rPr>
          <w:rFonts w:asciiTheme="majorHAnsi" w:hAnsiTheme="majorHAnsi" w:cstheme="majorHAnsi"/>
          <w:sz w:val="18"/>
          <w:szCs w:val="18"/>
        </w:rPr>
        <w:t xml:space="preserve"> </w:t>
      </w:r>
      <w:r w:rsidRPr="00B52C89">
        <w:rPr>
          <w:rFonts w:asciiTheme="majorHAnsi" w:hAnsiTheme="majorHAnsi" w:cstheme="majorHAnsi"/>
          <w:sz w:val="18"/>
          <w:szCs w:val="18"/>
        </w:rPr>
        <w:tab/>
        <w:t xml:space="preserve">Las inspecciones que se llevan a cabo en este contexto suelen ser de carácter investigativo (es decir, forense). </w:t>
      </w:r>
      <w:r w:rsidRPr="00B52C89">
        <w:rPr>
          <w:rFonts w:asciiTheme="majorHAnsi" w:hAnsiTheme="majorHAnsi" w:cstheme="majorHAnsi"/>
          <w:sz w:val="18"/>
          <w:szCs w:val="18"/>
        </w:rPr>
        <w:br/>
        <w:t>Consisten en actividades de constatación realizadas por el Banco o por personas nombradas por este para abordar asuntos específicos relativos a las investigaciones/auditorías, como determinar la veracidad de una denuncia de fraude y corrupción a través de los mecanismos adecuados. Dicha actividad incluye, entre otras cosas, acceder a la información y los registros financieros de una empresa o persona, examinarlos y hacer las copias que corresponda; acceder a cualquier otro tipo de documentos, datos o información (ya sea en formato impreso o electrónico) que se considere pertinente para la investigación/auditoría, examinarlos y hacer las copias que corresponda; entrevistar al personal y otras personas; realizar inspecciones físicas y visitas al emplazamiento, y someter la información a la verificación de terceros.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82F3" w14:textId="77777777" w:rsidR="006A2D70" w:rsidRPr="00EE16E1" w:rsidRDefault="006A2D70" w:rsidP="00FC38A3">
    <w:pPr>
      <w:pBdr>
        <w:bottom w:val="single" w:sz="4" w:space="1" w:color="auto"/>
      </w:pBdr>
      <w:tabs>
        <w:tab w:val="right" w:pos="9360"/>
      </w:tabs>
      <w:rPr>
        <w:sz w:val="20"/>
        <w:lang w:val="es-CO"/>
      </w:rPr>
    </w:pPr>
    <w:r w:rsidRPr="00EE16E1">
      <w:rPr>
        <w:sz w:val="20"/>
        <w:szCs w:val="20"/>
      </w:rPr>
      <w:t>S</w:t>
    </w:r>
    <w:r>
      <w:rPr>
        <w:sz w:val="20"/>
        <w:szCs w:val="20"/>
      </w:rPr>
      <w:t>ección 6. Fraude y corrupción</w:t>
    </w:r>
    <w:r>
      <w:rPr>
        <w:sz w:val="20"/>
        <w:szCs w:val="20"/>
        <w:lang w:val="es-CO"/>
      </w:rPr>
      <w:tab/>
    </w:r>
    <w:r w:rsidRPr="00EE16E1">
      <w:rPr>
        <w:sz w:val="20"/>
        <w:lang w:val="es-CO"/>
      </w:rPr>
      <w:fldChar w:fldCharType="begin"/>
    </w:r>
    <w:r w:rsidRPr="00EE16E1">
      <w:rPr>
        <w:sz w:val="20"/>
        <w:lang w:val="es-CO"/>
      </w:rPr>
      <w:instrText xml:space="preserve"> PAGE   \* MERGEFORMAT </w:instrText>
    </w:r>
    <w:r w:rsidRPr="00EE16E1">
      <w:rPr>
        <w:sz w:val="20"/>
        <w:lang w:val="es-CO"/>
      </w:rPr>
      <w:fldChar w:fldCharType="separate"/>
    </w:r>
    <w:r>
      <w:rPr>
        <w:noProof/>
        <w:sz w:val="20"/>
        <w:lang w:val="es-CO"/>
      </w:rPr>
      <w:t>82</w:t>
    </w:r>
    <w:r w:rsidRPr="00EE16E1">
      <w:rPr>
        <w:sz w:val="20"/>
        <w:lang w:val="es-CO"/>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38E9" w14:textId="72B60E2F" w:rsidR="000A6F8B" w:rsidRDefault="00B1512A">
    <w:pPr>
      <w:pStyle w:val="Encabezado"/>
    </w:pPr>
    <w:r>
      <w:rPr>
        <w:noProof/>
      </w:rPr>
      <w:drawing>
        <wp:anchor distT="0" distB="0" distL="114300" distR="114300" simplePos="0" relativeHeight="251660288" behindDoc="1" locked="0" layoutInCell="1" allowOverlap="1" wp14:anchorId="4D4B1D74" wp14:editId="4A783E5C">
          <wp:simplePos x="0" y="0"/>
          <wp:positionH relativeFrom="page">
            <wp:align>right</wp:align>
          </wp:positionH>
          <wp:positionV relativeFrom="paragraph">
            <wp:posOffset>-1258432</wp:posOffset>
          </wp:positionV>
          <wp:extent cx="7781262" cy="10069869"/>
          <wp:effectExtent l="0" t="0" r="0" b="7620"/>
          <wp:wrapNone/>
          <wp:docPr id="1910130934" name="Picture 1910130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1262" cy="1006986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37FE" w14:textId="77777777" w:rsidR="006A2D70" w:rsidRDefault="006A2D70">
    <w:pPr>
      <w:pStyle w:val="Encabezado"/>
    </w:pPr>
    <w:r>
      <w:t>Sección VII - Países Elegibles</w:t>
    </w:r>
    <w:r>
      <w:tab/>
    </w:r>
    <w:r>
      <w:rPr>
        <w:rStyle w:val="Nmerodepgina"/>
      </w:rPr>
      <w:fldChar w:fldCharType="begin"/>
    </w:r>
    <w:r>
      <w:rPr>
        <w:rStyle w:val="Nmerodepgina"/>
      </w:rPr>
      <w:instrText xml:space="preserve"> PAGE </w:instrText>
    </w:r>
    <w:r>
      <w:rPr>
        <w:rStyle w:val="Nmerodepgina"/>
      </w:rPr>
      <w:fldChar w:fldCharType="separate"/>
    </w:r>
    <w:r>
      <w:rPr>
        <w:rStyle w:val="Nmerodepgina"/>
        <w:noProof/>
      </w:rPr>
      <w:t>83</w:t>
    </w:r>
    <w:r>
      <w:rPr>
        <w:rStyle w:val="Nmerodepgina"/>
      </w:rPr>
      <w:fldChar w:fldCharType="end"/>
    </w:r>
  </w:p>
  <w:p w14:paraId="12E4E44B" w14:textId="77777777" w:rsidR="006A2D70" w:rsidRDefault="006A2D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1F6"/>
    <w:multiLevelType w:val="hybridMultilevel"/>
    <w:tmpl w:val="1FC8AA50"/>
    <w:lvl w:ilvl="0" w:tplc="E9B0CD36">
      <w:start w:val="1"/>
      <w:numFmt w:val="lowerLetter"/>
      <w:lvlText w:val="%1)"/>
      <w:lvlJc w:val="left"/>
      <w:pPr>
        <w:ind w:left="3240" w:hanging="360"/>
      </w:pPr>
      <w:rPr>
        <w:rFonts w:hint="default"/>
      </w:rPr>
    </w:lvl>
    <w:lvl w:ilvl="1" w:tplc="240A0019" w:tentative="1">
      <w:start w:val="1"/>
      <w:numFmt w:val="lowerLetter"/>
      <w:lvlText w:val="%2."/>
      <w:lvlJc w:val="left"/>
      <w:pPr>
        <w:ind w:left="3960" w:hanging="360"/>
      </w:pPr>
    </w:lvl>
    <w:lvl w:ilvl="2" w:tplc="240A001B" w:tentative="1">
      <w:start w:val="1"/>
      <w:numFmt w:val="lowerRoman"/>
      <w:lvlText w:val="%3."/>
      <w:lvlJc w:val="right"/>
      <w:pPr>
        <w:ind w:left="4680" w:hanging="180"/>
      </w:pPr>
    </w:lvl>
    <w:lvl w:ilvl="3" w:tplc="240A000F" w:tentative="1">
      <w:start w:val="1"/>
      <w:numFmt w:val="decimal"/>
      <w:lvlText w:val="%4."/>
      <w:lvlJc w:val="left"/>
      <w:pPr>
        <w:ind w:left="5400" w:hanging="360"/>
      </w:pPr>
    </w:lvl>
    <w:lvl w:ilvl="4" w:tplc="240A0019" w:tentative="1">
      <w:start w:val="1"/>
      <w:numFmt w:val="lowerLetter"/>
      <w:lvlText w:val="%5."/>
      <w:lvlJc w:val="left"/>
      <w:pPr>
        <w:ind w:left="6120" w:hanging="360"/>
      </w:pPr>
    </w:lvl>
    <w:lvl w:ilvl="5" w:tplc="240A001B" w:tentative="1">
      <w:start w:val="1"/>
      <w:numFmt w:val="lowerRoman"/>
      <w:lvlText w:val="%6."/>
      <w:lvlJc w:val="right"/>
      <w:pPr>
        <w:ind w:left="6840" w:hanging="180"/>
      </w:pPr>
    </w:lvl>
    <w:lvl w:ilvl="6" w:tplc="240A000F" w:tentative="1">
      <w:start w:val="1"/>
      <w:numFmt w:val="decimal"/>
      <w:lvlText w:val="%7."/>
      <w:lvlJc w:val="left"/>
      <w:pPr>
        <w:ind w:left="7560" w:hanging="360"/>
      </w:pPr>
    </w:lvl>
    <w:lvl w:ilvl="7" w:tplc="240A0019" w:tentative="1">
      <w:start w:val="1"/>
      <w:numFmt w:val="lowerLetter"/>
      <w:lvlText w:val="%8."/>
      <w:lvlJc w:val="left"/>
      <w:pPr>
        <w:ind w:left="8280" w:hanging="360"/>
      </w:pPr>
    </w:lvl>
    <w:lvl w:ilvl="8" w:tplc="240A001B" w:tentative="1">
      <w:start w:val="1"/>
      <w:numFmt w:val="lowerRoman"/>
      <w:lvlText w:val="%9."/>
      <w:lvlJc w:val="right"/>
      <w:pPr>
        <w:ind w:left="9000" w:hanging="180"/>
      </w:pPr>
    </w:lvl>
  </w:abstractNum>
  <w:abstractNum w:abstractNumId="1" w15:restartNumberingAfterBreak="0">
    <w:nsid w:val="03BF6027"/>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0D07B9"/>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9B66522"/>
    <w:multiLevelType w:val="hybridMultilevel"/>
    <w:tmpl w:val="7BD86F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1B7B9E"/>
    <w:multiLevelType w:val="hybridMultilevel"/>
    <w:tmpl w:val="82488B02"/>
    <w:lvl w:ilvl="0" w:tplc="7A2AFE24">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F5224C"/>
    <w:multiLevelType w:val="hybridMultilevel"/>
    <w:tmpl w:val="776A869A"/>
    <w:lvl w:ilvl="0" w:tplc="9786536C">
      <w:start w:val="1"/>
      <w:numFmt w:val="lowerLetter"/>
      <w:lvlText w:val="%1)"/>
      <w:lvlJc w:val="left"/>
      <w:pPr>
        <w:ind w:left="720" w:hanging="360"/>
      </w:pPr>
      <w:rPr>
        <w:rFonts w:hint="default"/>
      </w:rPr>
    </w:lvl>
    <w:lvl w:ilvl="1" w:tplc="389C258C">
      <w:start w:val="1"/>
      <w:numFmt w:val="lowerRoman"/>
      <w:lvlText w:val="%2."/>
      <w:lvlJc w:val="left"/>
      <w:pPr>
        <w:ind w:left="2160" w:hanging="720"/>
      </w:pPr>
      <w:rPr>
        <w:rFonts w:hint="default"/>
      </w:r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73F24D7E"/>
    <w:multiLevelType w:val="hybridMultilevel"/>
    <w:tmpl w:val="F2F89DD0"/>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7A753078"/>
    <w:multiLevelType w:val="hybridMultilevel"/>
    <w:tmpl w:val="5BD8D440"/>
    <w:lvl w:ilvl="0" w:tplc="60BECB26">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A02CBC"/>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03841257">
    <w:abstractNumId w:val="1"/>
  </w:num>
  <w:num w:numId="2" w16cid:durableId="281808012">
    <w:abstractNumId w:val="4"/>
  </w:num>
  <w:num w:numId="3" w16cid:durableId="373971598">
    <w:abstractNumId w:val="7"/>
  </w:num>
  <w:num w:numId="4" w16cid:durableId="933712621">
    <w:abstractNumId w:val="8"/>
  </w:num>
  <w:num w:numId="5" w16cid:durableId="1688171349">
    <w:abstractNumId w:val="6"/>
  </w:num>
  <w:num w:numId="6" w16cid:durableId="419059378">
    <w:abstractNumId w:val="5"/>
  </w:num>
  <w:num w:numId="7" w16cid:durableId="780103631">
    <w:abstractNumId w:val="2"/>
  </w:num>
  <w:num w:numId="8" w16cid:durableId="240792486">
    <w:abstractNumId w:val="3"/>
  </w:num>
  <w:num w:numId="9" w16cid:durableId="15491003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D70"/>
    <w:rsid w:val="00021628"/>
    <w:rsid w:val="000A58D5"/>
    <w:rsid w:val="000A6F8B"/>
    <w:rsid w:val="0019622D"/>
    <w:rsid w:val="001D2817"/>
    <w:rsid w:val="001E77C3"/>
    <w:rsid w:val="0048445B"/>
    <w:rsid w:val="005B0ED7"/>
    <w:rsid w:val="005C26D4"/>
    <w:rsid w:val="00602EC9"/>
    <w:rsid w:val="006554A2"/>
    <w:rsid w:val="006A2D70"/>
    <w:rsid w:val="006E4BEC"/>
    <w:rsid w:val="00742BC5"/>
    <w:rsid w:val="00757AA2"/>
    <w:rsid w:val="0079277A"/>
    <w:rsid w:val="008207BE"/>
    <w:rsid w:val="008432C6"/>
    <w:rsid w:val="0095526E"/>
    <w:rsid w:val="00B1512A"/>
    <w:rsid w:val="00B52C89"/>
    <w:rsid w:val="00C51BC6"/>
    <w:rsid w:val="00E70B00"/>
    <w:rsid w:val="00E817D8"/>
    <w:rsid w:val="00EC482D"/>
    <w:rsid w:val="00F87C1E"/>
    <w:rsid w:val="00FC38A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3E5B88"/>
  <w15:chartTrackingRefBased/>
  <w15:docId w15:val="{DF212AC4-3D39-4296-8F81-F805BF1D7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70"/>
    <w:pPr>
      <w:spacing w:after="0" w:line="240" w:lineRule="auto"/>
    </w:pPr>
    <w:rPr>
      <w:rFonts w:ascii="Times New Roman" w:eastAsia="Times New Roman" w:hAnsi="Times New Roman" w:cs="Times New Roman"/>
      <w:sz w:val="24"/>
      <w:szCs w:val="24"/>
      <w:lang w:val="es-ES" w:eastAsia="es-ES" w:bidi="es-ES"/>
    </w:rPr>
  </w:style>
  <w:style w:type="paragraph" w:styleId="Ttulo1">
    <w:name w:val="heading 1"/>
    <w:basedOn w:val="Normal"/>
    <w:next w:val="Normal"/>
    <w:link w:val="Ttulo1Car"/>
    <w:qFormat/>
    <w:rsid w:val="006A2D70"/>
    <w:pPr>
      <w:keepNext/>
      <w:keepLines/>
      <w:spacing w:before="240" w:after="240"/>
      <w:jc w:val="center"/>
      <w:outlineLvl w:val="0"/>
    </w:pPr>
    <w:rPr>
      <w:rFonts w:ascii="Times New Roman Bold" w:hAnsi="Times New Roman Bold"/>
      <w:b/>
      <w:sz w:val="3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A2D70"/>
    <w:rPr>
      <w:rFonts w:ascii="Times New Roman Bold" w:eastAsia="Times New Roman" w:hAnsi="Times New Roman Bold" w:cs="Times New Roman"/>
      <w:b/>
      <w:sz w:val="32"/>
      <w:szCs w:val="20"/>
      <w:lang w:val="es-ES" w:eastAsia="es-ES" w:bidi="es-ES"/>
    </w:rPr>
  </w:style>
  <w:style w:type="paragraph" w:styleId="Prrafodelista">
    <w:name w:val="List Paragraph"/>
    <w:aliases w:val="Citation List,본문(내용),List Paragraph (numbered (a)),Colorful List - Accent 11"/>
    <w:basedOn w:val="Normal"/>
    <w:link w:val="PrrafodelistaCar"/>
    <w:uiPriority w:val="34"/>
    <w:qFormat/>
    <w:rsid w:val="006A2D70"/>
    <w:pPr>
      <w:ind w:left="720"/>
      <w:contextualSpacing/>
    </w:pPr>
  </w:style>
  <w:style w:type="character" w:customStyle="1" w:styleId="PrrafodelistaCar">
    <w:name w:val="Párrafo de lista Car"/>
    <w:aliases w:val="Citation List Car,본문(내용) Car,List Paragraph (numbered (a)) Car,Colorful List - Accent 11 Car"/>
    <w:basedOn w:val="Fuentedeprrafopredeter"/>
    <w:link w:val="Prrafodelista"/>
    <w:uiPriority w:val="34"/>
    <w:rsid w:val="006A2D70"/>
    <w:rPr>
      <w:rFonts w:ascii="Times New Roman" w:eastAsia="Times New Roman" w:hAnsi="Times New Roman" w:cs="Times New Roman"/>
      <w:sz w:val="24"/>
      <w:szCs w:val="24"/>
      <w:lang w:val="es-ES" w:eastAsia="es-ES" w:bidi="es-E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n,footnote text"/>
    <w:basedOn w:val="Normal"/>
    <w:link w:val="TextonotapieCar"/>
    <w:qFormat/>
    <w:rsid w:val="006A2D70"/>
    <w:rPr>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6A2D70"/>
    <w:rPr>
      <w:rFonts w:ascii="Times New Roman" w:eastAsia="Times New Roman" w:hAnsi="Times New Roman" w:cs="Times New Roman"/>
      <w:sz w:val="20"/>
      <w:szCs w:val="20"/>
      <w:lang w:val="es-ES" w:eastAsia="es-ES" w:bidi="es-ES"/>
    </w:rPr>
  </w:style>
  <w:style w:type="character" w:styleId="Nmerodepgina">
    <w:name w:val="page number"/>
    <w:basedOn w:val="Fuentedeprrafopredeter"/>
    <w:uiPriority w:val="99"/>
    <w:rsid w:val="006A2D70"/>
    <w:rPr>
      <w:rFonts w:cs="Times New Roman"/>
    </w:rPr>
  </w:style>
  <w:style w:type="paragraph" w:styleId="Encabezado">
    <w:name w:val="header"/>
    <w:basedOn w:val="Normal"/>
    <w:link w:val="EncabezadoCar"/>
    <w:uiPriority w:val="99"/>
    <w:rsid w:val="006A2D70"/>
    <w:pPr>
      <w:pBdr>
        <w:bottom w:val="single" w:sz="4" w:space="1" w:color="auto"/>
      </w:pBdr>
      <w:tabs>
        <w:tab w:val="right" w:pos="9000"/>
      </w:tabs>
      <w:ind w:right="73"/>
    </w:pPr>
    <w:rPr>
      <w:sz w:val="20"/>
      <w:szCs w:val="20"/>
    </w:rPr>
  </w:style>
  <w:style w:type="character" w:customStyle="1" w:styleId="EncabezadoCar">
    <w:name w:val="Encabezado Car"/>
    <w:basedOn w:val="Fuentedeprrafopredeter"/>
    <w:link w:val="Encabezado"/>
    <w:uiPriority w:val="99"/>
    <w:rsid w:val="006A2D70"/>
    <w:rPr>
      <w:rFonts w:ascii="Times New Roman" w:eastAsia="Times New Roman" w:hAnsi="Times New Roman" w:cs="Times New Roman"/>
      <w:sz w:val="20"/>
      <w:szCs w:val="20"/>
      <w:lang w:val="es-ES" w:eastAsia="es-ES" w:bidi="es-ES"/>
    </w:rPr>
  </w:style>
  <w:style w:type="character" w:styleId="Refdenotaalpie">
    <w:name w:val="footnote reference"/>
    <w:basedOn w:val="Fuentedeprrafopredeter"/>
    <w:rsid w:val="006A2D70"/>
    <w:rPr>
      <w:rFonts w:cs="Times New Roman"/>
      <w:vertAlign w:val="superscript"/>
    </w:rPr>
  </w:style>
  <w:style w:type="paragraph" w:styleId="Piedepgina">
    <w:name w:val="footer"/>
    <w:basedOn w:val="Normal"/>
    <w:link w:val="PiedepginaCar"/>
    <w:uiPriority w:val="99"/>
    <w:unhideWhenUsed/>
    <w:rsid w:val="006A2D70"/>
    <w:pPr>
      <w:tabs>
        <w:tab w:val="center" w:pos="4419"/>
        <w:tab w:val="right" w:pos="8838"/>
      </w:tabs>
    </w:pPr>
  </w:style>
  <w:style w:type="character" w:customStyle="1" w:styleId="PiedepginaCar">
    <w:name w:val="Pie de página Car"/>
    <w:basedOn w:val="Fuentedeprrafopredeter"/>
    <w:link w:val="Piedepgina"/>
    <w:uiPriority w:val="99"/>
    <w:rsid w:val="006A2D70"/>
    <w:rPr>
      <w:rFonts w:ascii="Times New Roman" w:eastAsia="Times New Roman" w:hAnsi="Times New Roman" w:cs="Times New Roman"/>
      <w:sz w:val="24"/>
      <w:szCs w:val="24"/>
      <w:lang w:val="es-ES" w:eastAsia="es-ES" w:bidi="es-ES"/>
    </w:rPr>
  </w:style>
  <w:style w:type="paragraph" w:customStyle="1" w:styleId="Default">
    <w:name w:val="Default"/>
    <w:rsid w:val="0019622D"/>
    <w:pPr>
      <w:autoSpaceDE w:val="0"/>
      <w:autoSpaceDN w:val="0"/>
      <w:adjustRightInd w:val="0"/>
      <w:spacing w:after="0" w:line="240" w:lineRule="auto"/>
    </w:pPr>
    <w:rPr>
      <w:rFonts w:ascii="Andes" w:hAnsi="Andes" w:cs="And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88659775c2030b02b92e24832ca84085">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e98d4066a6e39a63e2a7a836a21be0cf"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4709C-36CC-4E6E-88AC-466EA2B00230}">
  <ds:schemaRef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purl.org/dc/dcmitype/"/>
    <ds:schemaRef ds:uri="http://schemas.openxmlformats.org/package/2006/metadata/core-properties"/>
    <ds:schemaRef ds:uri="1ac632f0-0a30-4f3b-832b-3b2db778a10b"/>
    <ds:schemaRef ds:uri="f59abb42-7ee4-472f-a921-452c35d8b151"/>
    <ds:schemaRef ds:uri="12ce5ced-eddb-497e-9cf3-da6c2b0c9361"/>
    <ds:schemaRef ds:uri="http://schemas.microsoft.com/office/2006/metadata/properties"/>
  </ds:schemaRefs>
</ds:datastoreItem>
</file>

<file path=customXml/itemProps2.xml><?xml version="1.0" encoding="utf-8"?>
<ds:datastoreItem xmlns:ds="http://schemas.openxmlformats.org/officeDocument/2006/customXml" ds:itemID="{0931D808-E60B-4763-A39A-58DE4D767499}">
  <ds:schemaRefs>
    <ds:schemaRef ds:uri="http://schemas.microsoft.com/sharepoint/v3/contenttype/forms"/>
  </ds:schemaRefs>
</ds:datastoreItem>
</file>

<file path=customXml/itemProps3.xml><?xml version="1.0" encoding="utf-8"?>
<ds:datastoreItem xmlns:ds="http://schemas.openxmlformats.org/officeDocument/2006/customXml" ds:itemID="{A9DD74D1-04E7-4A90-8F2D-A9FA8E1873FC}"/>
</file>

<file path=docProps/app.xml><?xml version="1.0" encoding="utf-8"?>
<Properties xmlns="http://schemas.openxmlformats.org/officeDocument/2006/extended-properties" xmlns:vt="http://schemas.openxmlformats.org/officeDocument/2006/docPropsVTypes">
  <Template>Normal</Template>
  <TotalTime>35</TotalTime>
  <Pages>2</Pages>
  <Words>758</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Sanchez Quintero</dc:creator>
  <cp:keywords/>
  <dc:description/>
  <cp:lastModifiedBy>Viviana Sanchez Quintero</cp:lastModifiedBy>
  <cp:revision>13</cp:revision>
  <dcterms:created xsi:type="dcterms:W3CDTF">2020-08-20T23:02:00Z</dcterms:created>
  <dcterms:modified xsi:type="dcterms:W3CDTF">2025-03-26T22:47:00Z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